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F4408" w14:paraId="443D4834" w14:textId="77777777" w:rsidTr="003F4408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</w:tcPr>
          <w:tbl>
            <w:tblPr>
              <w:tblpPr w:leftFromText="45" w:rightFromText="11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90"/>
              <w:gridCol w:w="225"/>
            </w:tblGrid>
            <w:tr w:rsidR="003F4408" w14:paraId="0568CFF7" w14:textId="77777777">
              <w:trPr>
                <w:trHeight w:val="15"/>
              </w:trPr>
              <w:tc>
                <w:tcPr>
                  <w:tcW w:w="0" w:type="auto"/>
                  <w:hideMark/>
                </w:tcPr>
                <w:p w14:paraId="4D278FE8" w14:textId="367CE1F4" w:rsidR="003F4408" w:rsidRDefault="003F4408" w:rsidP="003F4408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62DED8BB" wp14:editId="19644377">
                        <wp:extent cx="1574800" cy="1917700"/>
                        <wp:effectExtent l="0" t="0" r="6350" b="6350"/>
                        <wp:docPr id="4" name="Picture 4" descr="Logo, company name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Logo, company nam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0" cy="191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" w:type="dxa"/>
                  <w:hideMark/>
                </w:tcPr>
                <w:p w14:paraId="01C88A28" w14:textId="4E698254" w:rsidR="003F4408" w:rsidRDefault="003F4408" w:rsidP="003F4408">
                  <w:pPr>
                    <w:spacing w:line="15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1A2D6E7B" wp14:editId="0259E9C3">
                        <wp:extent cx="139700" cy="6350"/>
                        <wp:effectExtent l="0" t="0" r="0" b="0"/>
                        <wp:docPr id="3" name="Picture 3" descr="Shape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 descr="Shape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4408" w14:paraId="7DDA2102" w14:textId="77777777">
              <w:trPr>
                <w:trHeight w:val="15"/>
              </w:trPr>
              <w:tc>
                <w:tcPr>
                  <w:tcW w:w="0" w:type="auto"/>
                  <w:hideMark/>
                </w:tcPr>
                <w:p w14:paraId="20FEE963" w14:textId="0DC7D3FF" w:rsidR="003F4408" w:rsidRDefault="003F4408" w:rsidP="003F4408">
                  <w:pPr>
                    <w:spacing w:line="15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BF4116A" wp14:editId="7A403F43">
                        <wp:extent cx="6350" cy="44450"/>
                        <wp:effectExtent l="0" t="0" r="0" b="0"/>
                        <wp:docPr id="2" name="Picture 2" descr="Shape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Shape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4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14:paraId="6E4C3D57" w14:textId="23BCC922" w:rsidR="003F4408" w:rsidRDefault="003F4408" w:rsidP="003F4408">
                  <w:pPr>
                    <w:spacing w:line="15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3D4CFA35" wp14:editId="1D2EB404">
                        <wp:extent cx="44450" cy="6350"/>
                        <wp:effectExtent l="0" t="0" r="0" b="0"/>
                        <wp:docPr id="1" name="Picture 1" descr="Shape&#10;&#10;Description automatically generated with low confiden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Shape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314FA0" w14:textId="77777777" w:rsidR="003F4408" w:rsidRDefault="003F4408" w:rsidP="003F4408">
            <w:pPr>
              <w:jc w:val="center"/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03F42"/>
                <w:sz w:val="39"/>
                <w:szCs w:val="39"/>
              </w:rPr>
              <w:t xml:space="preserve">Rhode Island TU#225 </w:t>
            </w:r>
          </w:p>
          <w:p w14:paraId="62C87761" w14:textId="77777777" w:rsidR="003F4408" w:rsidRDefault="003F4408" w:rsidP="003F4408">
            <w:pPr>
              <w:jc w:val="center"/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03F42"/>
                <w:sz w:val="36"/>
                <w:szCs w:val="36"/>
              </w:rPr>
              <w:t>Annual Fundraising Banquet and Auction</w:t>
            </w:r>
          </w:p>
          <w:p w14:paraId="3F989E4D" w14:textId="77777777" w:rsidR="003F4408" w:rsidRDefault="003F4408" w:rsidP="003F4408">
            <w:pPr>
              <w:jc w:val="center"/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3F42"/>
                <w:sz w:val="36"/>
                <w:szCs w:val="36"/>
              </w:rPr>
              <w:t xml:space="preserve">Saturday, April 22, 2023 </w:t>
            </w:r>
          </w:p>
          <w:p w14:paraId="5CFDD68C" w14:textId="77777777" w:rsidR="003F4408" w:rsidRDefault="003F4408" w:rsidP="003F4408">
            <w:pPr>
              <w:jc w:val="center"/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3F42"/>
                <w:sz w:val="36"/>
                <w:szCs w:val="36"/>
              </w:rPr>
              <w:t>3:00 - 7:30 pm</w:t>
            </w:r>
          </w:p>
          <w:p w14:paraId="111CAC41" w14:textId="77777777" w:rsidR="003F4408" w:rsidRDefault="003F4408" w:rsidP="003F4408">
            <w:pPr>
              <w:jc w:val="center"/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3F42"/>
                <w:sz w:val="33"/>
                <w:szCs w:val="33"/>
              </w:rPr>
              <w:t xml:space="preserve">Tickets $45.00 Adult or </w:t>
            </w:r>
          </w:p>
          <w:p w14:paraId="1408E29A" w14:textId="77777777" w:rsidR="003F4408" w:rsidRDefault="003F4408" w:rsidP="003F4408">
            <w:pPr>
              <w:jc w:val="center"/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3F42"/>
                <w:sz w:val="33"/>
                <w:szCs w:val="33"/>
              </w:rPr>
              <w:t>$17.50 children 15 and under</w:t>
            </w:r>
          </w:p>
          <w:p w14:paraId="33E9EF22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 </w:t>
            </w:r>
          </w:p>
          <w:p w14:paraId="3087C63E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This year we are honored and excited to have the face of Rio, Simon </w:t>
            </w:r>
            <w:proofErr w:type="spellStart"/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Gawesworth</w:t>
            </w:r>
            <w:proofErr w:type="spellEnd"/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, as our </w:t>
            </w:r>
            <w:proofErr w:type="gramStart"/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key note</w:t>
            </w:r>
            <w:proofErr w:type="gramEnd"/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 speaker. Simon is the Education and Engagement Manager for Far Bank, the parent company of Rio Products, Sage, Redington and Fly Water Travel. The title of his talk is </w:t>
            </w:r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 xml:space="preserve">“Understanding Fly Lines &amp; How </w:t>
            </w:r>
            <w:proofErr w:type="gramStart"/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>To</w:t>
            </w:r>
            <w:proofErr w:type="gramEnd"/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 xml:space="preserve"> Choose The Right Line For Maximizing Performance”, 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which he promises will be</w:t>
            </w:r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educational and entertaining. The Fundraiser will take place from 3:00 -7:30 at the Quonset “O” Club North Kingstown, RI 02852. For directions, please see the following link: </w:t>
            </w:r>
            <w:hyperlink r:id="rId7" w:tgtFrame="_blank" w:history="1">
              <w:r>
                <w:rPr>
                  <w:rStyle w:val="Hyperlink"/>
                  <w:rFonts w:ascii="Arial" w:eastAsia="Times New Roman" w:hAnsi="Arial" w:cs="Arial"/>
                  <w:color w:val="3708CE"/>
                  <w:sz w:val="24"/>
                  <w:szCs w:val="24"/>
                </w:rPr>
                <w:t>http://www.quonsetoclub.com/directions.html</w:t>
              </w:r>
            </w:hyperlink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 .</w:t>
            </w:r>
            <w:r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 xml:space="preserve"> </w:t>
            </w:r>
          </w:p>
          <w:p w14:paraId="63CCF8A9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</w:p>
          <w:p w14:paraId="496C57D1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The annual banquet is our main fundraiser of the year that allows TU225 to realize our 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>Vision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 xml:space="preserve">To ensure that the habitats for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>coldwater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 xml:space="preserve"> and estuary fish thrive in Rhode Island for future generations, 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and accomplish our 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>Mission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: </w:t>
            </w:r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 xml:space="preserve">To bring together diverse interests to conserve, protect, restore, and sustain the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>coldwater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403F42"/>
                <w:sz w:val="24"/>
                <w:szCs w:val="24"/>
              </w:rPr>
              <w:t xml:space="preserve"> fisheries and their watersheds in Rhode Island through collaborative, educational, and environmental activities so our children can experience the joy of wild and native trout 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 xml:space="preserve"> </w:t>
            </w:r>
          </w:p>
          <w:p w14:paraId="5C71C065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</w:p>
          <w:p w14:paraId="12EEC9DF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The Banquet will feature an early evening dinner buffet with multiple entree choices, served salad and dessert. A cash bar will be available for the beverage of your choice. There will be numerous bucket raffles, door prizes, silent auction and live auction items. </w:t>
            </w:r>
          </w:p>
          <w:p w14:paraId="6DC3280E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</w:p>
          <w:p w14:paraId="72E49C31" w14:textId="77777777" w:rsidR="003F4408" w:rsidRDefault="003F4408" w:rsidP="003F4408">
            <w:pPr>
              <w:numPr>
                <w:ilvl w:val="0"/>
                <w:numId w:val="1"/>
              </w:numPr>
              <w:ind w:left="1320" w:hanging="240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color w:val="333333"/>
                <w:sz w:val="14"/>
                <w:szCs w:val="14"/>
              </w:rPr>
              <w:t> 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SPECIAL !!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Limited ticket raffle for a new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Sage R8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9ft 5wt 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 piece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rod with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Sage Spectrum LT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reel and a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Rio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Elite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Floating line 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$1500.00 Retail Value ► Only 100 Tickets being sold, $20.00 each, on line or in person while they last. Go to Dinner Ticket link below to purchase. The drawing will be the evening of the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banquet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 xml:space="preserve"> but you do not need to be present to win.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  <w:p w14:paraId="4748EE6C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</w:p>
          <w:p w14:paraId="53EF915B" w14:textId="77777777" w:rsidR="003F4408" w:rsidRDefault="003F4408" w:rsidP="003F4408">
            <w:pPr>
              <w:numPr>
                <w:ilvl w:val="0"/>
                <w:numId w:val="2"/>
              </w:numPr>
              <w:ind w:left="1320" w:hanging="240"/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color w:val="403F42"/>
                <w:sz w:val="14"/>
                <w:szCs w:val="1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 xml:space="preserve">NEW!! 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This year for the first time we will be selling advertising space in our banquet program. A great way to advertise your business to the Trout Unlimited community. Based on the vertical 8H x 5W design of our program, prices are: $150 for full page color </w:t>
            </w:r>
            <w:proofErr w:type="gramStart"/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ad</w:t>
            </w:r>
            <w:proofErr w:type="gramEnd"/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 on inside front or back cover, $100 for full page color ad within the program, $50 half page color ad and $25 </w:t>
            </w:r>
            <w:proofErr w:type="gramStart"/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1/4 page</w:t>
            </w:r>
            <w:proofErr w:type="gramEnd"/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 ad. Please contact Susan Estabrook 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lastRenderedPageBreak/>
              <w:t xml:space="preserve">at </w:t>
            </w:r>
            <w:hyperlink r:id="rId8" w:tgtFrame="_blank" w:history="1">
              <w:r>
                <w:rPr>
                  <w:rStyle w:val="Hyperlink"/>
                  <w:rFonts w:ascii="Arial" w:eastAsia="Times New Roman" w:hAnsi="Arial" w:cs="Arial"/>
                  <w:color w:val="3708CE"/>
                  <w:sz w:val="24"/>
                  <w:szCs w:val="24"/>
                </w:rPr>
                <w:t>susan@ysrinc.com</w:t>
              </w:r>
            </w:hyperlink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 with your choice of ad size and artwork. Please put in the subject of your email 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>“TU-AD”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 xml:space="preserve"> </w:t>
            </w:r>
          </w:p>
          <w:p w14:paraId="28A82E05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                            </w:t>
            </w:r>
          </w:p>
          <w:p w14:paraId="56FA471D" w14:textId="77777777" w:rsidR="003F4408" w:rsidRDefault="003F4408" w:rsidP="003F4408">
            <w:pPr>
              <w:numPr>
                <w:ilvl w:val="0"/>
                <w:numId w:val="3"/>
              </w:numPr>
              <w:ind w:left="1320" w:hanging="240"/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Georgia" w:eastAsia="Times New Roman" w:hAnsi="Georgia" w:cs="Arial"/>
                <w:color w:val="403F42"/>
                <w:sz w:val="14"/>
                <w:szCs w:val="14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>RETURNING !!: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 For the second year, the banquet will feature a Veteran and First Responder’s table raffle to bring awareness to the Trout Unlimited Service Partnership program. This raffle will offer a new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 xml:space="preserve"> Redington Path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Fly Rod, Reel, Line and Case in 4-wt Fresh and 8-wt Salt. 100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% of the profits of this special raffle will be donated to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Dare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>To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  <w:t xml:space="preserve"> Dream Ranch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D2DR), our Chapter's partner in executing TU's SP in Rhode Island.</w:t>
            </w:r>
            <w:r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 xml:space="preserve"> </w:t>
            </w:r>
          </w:p>
          <w:p w14:paraId="5A870072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 </w:t>
            </w:r>
          </w:p>
          <w:p w14:paraId="0828F840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>Questions??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 Contact Susan Estabrook at </w:t>
            </w:r>
            <w:hyperlink r:id="rId9" w:tgtFrame="_blank" w:history="1">
              <w:r>
                <w:rPr>
                  <w:rStyle w:val="Hyperlink"/>
                  <w:rFonts w:ascii="Arial" w:eastAsia="Times New Roman" w:hAnsi="Arial" w:cs="Arial"/>
                  <w:color w:val="3708CE"/>
                  <w:sz w:val="24"/>
                  <w:szCs w:val="24"/>
                </w:rPr>
                <w:t>susan@ysrinc.com</w:t>
              </w:r>
            </w:hyperlink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Please put in the subject line of your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email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 xml:space="preserve"> TU#225. Please buy DINNER and/or RAFFLE tickets online @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403F42"/>
                <w:sz w:val="24"/>
                <w:szCs w:val="24"/>
              </w:rPr>
              <w:t> </w:t>
            </w:r>
            <w:hyperlink r:id="rId10" w:tgtFrame="_blank" w:history="1">
              <w:r>
                <w:rPr>
                  <w:rStyle w:val="Hyperlink"/>
                  <w:rFonts w:ascii="Arial" w:eastAsia="Times New Roman" w:hAnsi="Arial" w:cs="Arial"/>
                  <w:color w:val="3708CE"/>
                  <w:sz w:val="24"/>
                  <w:szCs w:val="24"/>
                </w:rPr>
                <w:t>https://secure.etransfer.com/RICTU/Dinner.cfm</w:t>
              </w:r>
            </w:hyperlink>
            <w:r>
              <w:rPr>
                <w:rFonts w:ascii="Arial" w:eastAsia="Times New Roman" w:hAnsi="Arial" w:cs="Arial"/>
                <w:color w:val="403F42"/>
                <w:sz w:val="24"/>
                <w:szCs w:val="24"/>
              </w:rPr>
              <w:t>. or click the button below.</w:t>
            </w:r>
            <w:r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 xml:space="preserve"> </w:t>
            </w:r>
          </w:p>
          <w:p w14:paraId="26C852C5" w14:textId="77777777" w:rsidR="003F4408" w:rsidRDefault="003F4408" w:rsidP="003F4408">
            <w:pPr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</w:p>
          <w:p w14:paraId="6E1C06C9" w14:textId="77777777" w:rsidR="003F4408" w:rsidRDefault="003F4408" w:rsidP="003F4408">
            <w:pPr>
              <w:jc w:val="center"/>
              <w:rPr>
                <w:rFonts w:ascii="Arial" w:eastAsia="Times New Roman" w:hAnsi="Arial" w:cs="Arial"/>
                <w:color w:val="403F4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403F42"/>
                <w:sz w:val="33"/>
                <w:szCs w:val="33"/>
              </w:rPr>
              <w:t>We are expecting a sellout crowd and don’t want to disappoint</w:t>
            </w:r>
            <w:r>
              <w:rPr>
                <w:rFonts w:ascii="Arial" w:eastAsia="Times New Roman" w:hAnsi="Arial" w:cs="Arial"/>
                <w:color w:val="403F42"/>
                <w:sz w:val="33"/>
                <w:szCs w:val="33"/>
              </w:rPr>
              <w:t>!</w:t>
            </w:r>
            <w:r>
              <w:rPr>
                <w:rFonts w:ascii="Arial" w:eastAsia="Times New Roman" w:hAnsi="Arial" w:cs="Arial"/>
                <w:color w:val="403F42"/>
                <w:sz w:val="18"/>
                <w:szCs w:val="18"/>
              </w:rPr>
              <w:t xml:space="preserve"> </w:t>
            </w:r>
          </w:p>
        </w:tc>
      </w:tr>
    </w:tbl>
    <w:p w14:paraId="18AB72E9" w14:textId="77777777" w:rsidR="007A6677" w:rsidRPr="003F4408" w:rsidRDefault="007A6677" w:rsidP="003F4408"/>
    <w:sectPr w:rsidR="007A6677" w:rsidRPr="003F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CA"/>
    <w:multiLevelType w:val="multilevel"/>
    <w:tmpl w:val="46A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622DC"/>
    <w:multiLevelType w:val="multilevel"/>
    <w:tmpl w:val="2C68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208B4"/>
    <w:multiLevelType w:val="multilevel"/>
    <w:tmpl w:val="37D6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6637409">
    <w:abstractNumId w:val="1"/>
  </w:num>
  <w:num w:numId="2" w16cid:durableId="1342850268">
    <w:abstractNumId w:val="2"/>
  </w:num>
  <w:num w:numId="3" w16cid:durableId="143609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08"/>
    <w:rsid w:val="00061A70"/>
    <w:rsid w:val="003F4408"/>
    <w:rsid w:val="007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4C5F"/>
  <w15:chartTrackingRefBased/>
  <w15:docId w15:val="{7FC649F1-B8FF-4602-952A-9A0A49A9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4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ysrinc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20.rs6.net/tn.jsp?f=001pn2c54rh52j9MvIGf3vEHUpb91LPHkivUhplwCfGXRm0Y-rRedBlag74MTtbgHfmq4Hi7KprRmLqLi6fzJa9CSWtJLId1yx6HGluluecZ-bfZVENiylNWj4dJVTWc9a0FJjNtwqZ0EYLMspiB3MFgv7xYWlWNKozUYrdbxdNHSM=&amp;c=pqk9hiwJlEGrirT85jXPp6KiGx1CeYa9sfA7e9bTOTJFIBIzqXUX7A==&amp;ch=QA0Ir_3yCgQqm4kfVLikEOggEmIrBZ-tm9EmQcU4Y3oKk4BdAVI1cw=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r20.rs6.net/tn.jsp?f=001pn2c54rh52j9MvIGf3vEHUpb91LPHkivUhplwCfGXRm0Y-rRedBlatZAkWVpiebyFf-7EReeJ-5sLRaFilFPfOLHd0drT6xyjXSk0Kgfbvb4mfdjL_gtjgVdVBQhWAjLkhZBjBshNW-2Sbnv3nVruZbyiq8VthJGLQllkHH6hjbOAlB8Qo-TYA==&amp;c=pqk9hiwJlEGrirT85jXPp6KiGx1CeYa9sfA7e9bTOTJFIBIzqXUX7A==&amp;ch=QA0Ir_3yCgQqm4kfVLikEOggEmIrBZ-tm9EmQcU4Y3oKk4BdAVI1c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ysr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chrostek</dc:creator>
  <cp:keywords/>
  <dc:description/>
  <cp:lastModifiedBy>cyndi chrostek</cp:lastModifiedBy>
  <cp:revision>2</cp:revision>
  <dcterms:created xsi:type="dcterms:W3CDTF">2023-03-17T19:32:00Z</dcterms:created>
  <dcterms:modified xsi:type="dcterms:W3CDTF">2023-03-17T19:32:00Z</dcterms:modified>
</cp:coreProperties>
</file>